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4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西南大学体育学院2019年硕士研究生复试</w:t>
      </w:r>
    </w:p>
    <w:p>
      <w:pPr>
        <w:ind w:right="-154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szCs w:val="24"/>
          <w:shd w:val="clear" w:fill="FFFFFF"/>
        </w:rPr>
        <w:t>各位考生：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　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学院201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年硕士研究生复试定于201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日上午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在学院举行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，详见《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西南大学体育学院201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年硕士研究生复试工作方案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》。现将有关程序安排如下：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/>
        <w:jc w:val="left"/>
        <w:textAlignment w:val="auto"/>
        <w:rPr>
          <w:rFonts w:hint="eastAsia" w:ascii="仿宋" w:hAnsi="仿宋" w:eastAsia="仿宋" w:cs="仿宋"/>
          <w:spacing w:val="-11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shd w:val="clear" w:fill="FFFFFF"/>
          <w:lang w:val="en-US" w:eastAsia="zh-CN"/>
        </w:rPr>
        <w:t>网上缴纳复试费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考生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3月25日到体育学院进行</w:t>
      </w:r>
      <w:r>
        <w:rPr>
          <w:rFonts w:hint="eastAsia" w:ascii="仿宋" w:hAnsi="仿宋" w:eastAsia="仿宋" w:cs="仿宋"/>
          <w:color w:val="auto"/>
          <w:kern w:val="0"/>
          <w:sz w:val="24"/>
        </w:rPr>
        <w:t>资格审查前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需先</w:t>
      </w:r>
      <w:r>
        <w:rPr>
          <w:rFonts w:hint="eastAsia" w:ascii="仿宋" w:hAnsi="仿宋" w:eastAsia="仿宋" w:cs="仿宋"/>
          <w:color w:val="auto"/>
          <w:kern w:val="0"/>
          <w:sz w:val="24"/>
        </w:rPr>
        <w:t>登录西南大学学生网上缴费平台（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http://upay.swu.edu.cn/payment/login.jsp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）缴纳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4"/>
        </w:rPr>
        <w:t>复试费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根据渝价（2013）310号之规定，研究生复试费按每生每项50元收取，即复试费150元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/人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，同等学力考生需另行缴纳加试费100元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/人</w:t>
      </w:r>
      <w:r>
        <w:rPr>
          <w:rFonts w:hint="eastAsia" w:ascii="仿宋" w:hAnsi="仿宋" w:eastAsia="仿宋" w:cs="仿宋"/>
          <w:color w:val="auto"/>
          <w:kern w:val="0"/>
          <w:sz w:val="24"/>
        </w:rPr>
        <w:t>。注意：缴费时注意选择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体育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学院，选择其他学院则缴费无效。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详见附件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考生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需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携带有关材料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instrText xml:space="preserve"> HYPERLINK "http://222.198.118.160/s/yanzhao/news1/20170321/1748796.html）于2017年4月5日下午14:00到美术学院0212进行资格审查。" </w:instrTex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于201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年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月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25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日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上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午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8:00-11:30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到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体育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学院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研究生办公室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103室报到，并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进行资格审查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具体材料详见附件1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3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4"/>
        </w:rPr>
        <w:t>日下午3：00—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</w:rPr>
        <w:t>:00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专业笔试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（体育科研方法）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640" w:right="0" w:rightChars="0" w:hanging="2640" w:hangingChars="11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3月27日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上午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0—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</w:rPr>
        <w:t>: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非专业、同等学力加试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（学校体育学）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635" w:leftChars="912" w:right="0" w:rightChars="0" w:hanging="720" w:hangingChars="300"/>
        <w:textAlignment w:val="auto"/>
        <w:rPr>
          <w:rFonts w:hint="default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下午</w:t>
      </w:r>
      <w:r>
        <w:rPr>
          <w:rFonts w:hint="eastAsia" w:ascii="仿宋" w:hAnsi="仿宋" w:eastAsia="仿宋" w:cs="仿宋"/>
          <w:color w:val="auto"/>
          <w:sz w:val="24"/>
        </w:rPr>
        <w:t>3：00—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</w:rPr>
        <w:t>:00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非专业、同等学力加试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 xml:space="preserve">（运动解剖学）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地点：体育学院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101</w:t>
      </w:r>
      <w:r>
        <w:rPr>
          <w:rFonts w:hint="eastAsia" w:ascii="仿宋" w:hAnsi="仿宋" w:eastAsia="仿宋" w:cs="仿宋"/>
          <w:color w:val="auto"/>
          <w:sz w:val="24"/>
        </w:rPr>
        <w:t>教室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考试方式均为闭卷，每个考试科目满分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100分，时间为3小时，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考试成绩均不计入复试总成绩，但不合格者不予录取（分数</w:t>
      </w:r>
      <w:r>
        <w:rPr>
          <w:rFonts w:hint="default" w:ascii="Arial" w:hAnsi="Arial" w:eastAsia="仿宋" w:cs="Arial"/>
          <w:color w:val="000000"/>
          <w:sz w:val="24"/>
          <w:lang w:eastAsia="zh-CN"/>
        </w:rPr>
        <w:t>≥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60分为合格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），非专业、</w:t>
      </w:r>
      <w:r>
        <w:rPr>
          <w:rFonts w:hint="eastAsia" w:ascii="仿宋" w:hAnsi="仿宋" w:eastAsia="仿宋" w:cs="仿宋"/>
          <w:color w:val="000000"/>
          <w:sz w:val="24"/>
        </w:rPr>
        <w:t>同等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  <w:t>力考生需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加试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学校体育学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  <w:t>》及《运动解剖学》两门课程。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79" w:leftChars="228" w:right="0" w:rightChars="0" w:firstLine="0" w:firstLine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4. 3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</w:rPr>
        <w:t>日上午8：00</w:t>
      </w:r>
      <w:r>
        <w:rPr>
          <w:rFonts w:hint="eastAsia" w:ascii="仿宋" w:hAnsi="仿宋" w:eastAsia="仿宋" w:cs="仿宋"/>
          <w:sz w:val="24"/>
          <w:lang w:eastAsia="zh-CN"/>
        </w:rPr>
        <w:t>分组</w:t>
      </w:r>
      <w:r>
        <w:rPr>
          <w:rFonts w:hint="eastAsia" w:ascii="仿宋" w:hAnsi="仿宋" w:eastAsia="仿宋" w:cs="仿宋"/>
          <w:sz w:val="24"/>
        </w:rPr>
        <w:t>进行专业</w:t>
      </w:r>
      <w:r>
        <w:rPr>
          <w:rFonts w:hint="eastAsia" w:ascii="仿宋" w:hAnsi="仿宋" w:eastAsia="仿宋" w:cs="仿宋"/>
          <w:sz w:val="24"/>
          <w:lang w:eastAsia="zh-CN"/>
        </w:rPr>
        <w:t>面试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英语</w:t>
      </w:r>
      <w:r>
        <w:rPr>
          <w:rFonts w:hint="eastAsia" w:ascii="仿宋" w:hAnsi="仿宋" w:eastAsia="仿宋" w:cs="仿宋"/>
          <w:sz w:val="24"/>
        </w:rPr>
        <w:t>口语</w:t>
      </w:r>
      <w:r>
        <w:rPr>
          <w:rFonts w:hint="eastAsia" w:ascii="仿宋" w:hAnsi="仿宋" w:eastAsia="仿宋" w:cs="仿宋"/>
          <w:sz w:val="24"/>
          <w:lang w:eastAsia="zh-CN"/>
        </w:rPr>
        <w:t>测试、综合素质和能力。</w:t>
      </w:r>
      <w:r>
        <w:rPr>
          <w:rFonts w:hint="eastAsia" w:ascii="仿宋" w:hAnsi="仿宋" w:eastAsia="仿宋" w:cs="仿宋"/>
          <w:sz w:val="24"/>
        </w:rPr>
        <w:t>地点：体育学院教室。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体育教育训练学专业考生技术考核，具体时间、地点由各导师</w:t>
      </w:r>
      <w:r>
        <w:rPr>
          <w:rFonts w:hint="eastAsia" w:ascii="仿宋" w:hAnsi="仿宋" w:eastAsia="仿宋" w:cs="仿宋"/>
          <w:sz w:val="24"/>
          <w:lang w:eastAsia="zh-CN"/>
        </w:rPr>
        <w:t>安排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25日</w:t>
      </w:r>
      <w:r>
        <w:rPr>
          <w:rFonts w:hint="eastAsia" w:ascii="仿宋" w:hAnsi="仿宋" w:eastAsia="仿宋" w:cs="仿宋"/>
          <w:color w:val="auto"/>
          <w:sz w:val="24"/>
        </w:rPr>
        <w:t>—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24"/>
        </w:rPr>
        <w:t>日</w:t>
      </w:r>
      <w:r>
        <w:rPr>
          <w:rFonts w:hint="eastAsia" w:ascii="仿宋" w:hAnsi="仿宋" w:eastAsia="仿宋" w:cs="仿宋"/>
          <w:sz w:val="24"/>
        </w:rPr>
        <w:t>自行安排体检（需带1寸照片）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复试考生凭有效证件自行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到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西南大学校医院参加体检（体检前需空腹），体检不合格者不予录取。具体要求详见西南大学校医院通知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>地点：西南大学校医院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60" w:leftChars="0" w:right="0" w:rightChars="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所有参加非全日制专业复试的考生均须签订知情承诺书。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60" w:leftChars="0" w:right="0" w:rightChars="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附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件：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西南大学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体育学院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年硕士研究生复试资格审查材料清单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</w:rPr>
        <w:t>西南大学201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</w:rPr>
        <w:t>年硕士研究生招生思想政治素质和品德考核表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3：学生网上缴费流程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西南大学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体育学院</w:t>
      </w:r>
      <w:r>
        <w:rPr>
          <w:rFonts w:hint="eastAsia" w:ascii="仿宋" w:hAnsi="仿宋" w:eastAsia="仿宋" w:cs="仿宋"/>
          <w:b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8"/>
          <w:szCs w:val="28"/>
        </w:rPr>
        <w:t>年硕士研究生复试资格审查材料清单</w:t>
      </w:r>
    </w:p>
    <w:p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（一）普通计划考生所需携带的材料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本人准考证；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身份证原件及复印件；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本人学历证书原件及复印件（应届本科毕业生带学生证，入学时再检查学历学位证，未取得国家承认的本科学历者不予报到、注册，取消入学资格）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大学学习成绩表；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《西南大学201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年硕士研究生招生思想政治素质和品德考核表》（一式两份，由考生单位填写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，分别密封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，详见附件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享受优惠政策考生所需的辅助材料。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（二）享受少数民族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骨干计划</w:t>
      </w:r>
      <w:r>
        <w:rPr>
          <w:rFonts w:hint="eastAsia" w:ascii="仿宋" w:hAnsi="仿宋" w:eastAsia="仿宋" w:cs="仿宋"/>
          <w:b/>
          <w:sz w:val="24"/>
          <w:szCs w:val="24"/>
        </w:rPr>
        <w:t>考生所需携带的材料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本人准考证；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身份证原件及复印件；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本人学历证书原件及复印件（应届本科毕业生带学生证，入学时再检查学历学位证，未取得国家承认的本科学历者不予报到、注册，取消入学资格）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大学学习成绩表；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《西南大学201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年硕士研究生招生思想政治素质和品德考核表》（一式两份，由考生单位填写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，分别密封</w:t>
      </w:r>
      <w:r>
        <w:rPr>
          <w:rFonts w:hint="eastAsia" w:ascii="仿宋" w:hAnsi="仿宋" w:eastAsia="仿宋" w:cs="仿宋"/>
          <w:sz w:val="24"/>
          <w:szCs w:val="24"/>
        </w:rPr>
        <w:t>）。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 户籍证明（户籍原件及复印件）；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 享受少数民族优惠政策的少数民族考生还必须提供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已</w:t>
      </w:r>
      <w:r>
        <w:rPr>
          <w:rFonts w:hint="eastAsia" w:ascii="仿宋" w:hAnsi="仿宋" w:eastAsia="仿宋" w:cs="仿宋"/>
          <w:sz w:val="24"/>
          <w:szCs w:val="24"/>
        </w:rPr>
        <w:t>签好的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定向就业合同</w:t>
      </w:r>
      <w:r>
        <w:rPr>
          <w:rFonts w:hint="eastAsia" w:ascii="仿宋" w:hAnsi="仿宋" w:eastAsia="仿宋" w:cs="仿宋"/>
          <w:b/>
          <w:sz w:val="24"/>
          <w:szCs w:val="24"/>
        </w:rPr>
        <w:t>原件一式三份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1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pacing w:val="-11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  <w:t>西南大学201</w:t>
      </w: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  <w:t>年硕士研究生招生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  <w:t>思想政治素质和品德考核表</w:t>
      </w:r>
    </w:p>
    <w:tbl>
      <w:tblPr>
        <w:tblStyle w:val="6"/>
        <w:tblW w:w="9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54"/>
        <w:gridCol w:w="713"/>
        <w:gridCol w:w="712"/>
        <w:gridCol w:w="1245"/>
        <w:gridCol w:w="1070"/>
        <w:gridCol w:w="107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证件号码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报考院所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应届（  ） 非应届（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考生所在单位名称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6" w:hRule="atLeast"/>
          <w:jc w:val="center"/>
        </w:trPr>
        <w:tc>
          <w:tcPr>
            <w:tcW w:w="985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考生本人档案所在单位人事（政治工作）部门对该生的政治态度、思想表现、工作学习态度、道德品质、遵纪守法、诚实守信等方面的介绍：（内容较多时可有附页）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  所在单位人事（政治工作）部门负责人（加盖公章）：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注：（1）所填内容一经涂改，本表无效。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（2）考生姓名、所在单位、出生年月、民族必须与该生报名时所填内容一致。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（3）“考生本人档案所在单位”必须与报名时所确认的一致。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（4）本表请考生自行从网上下载并用A4纸打印（一式两份），由所在单位填好。在得到报考学部、院（所、中心）的复试通知后，带上本表到复试学部、院（所、中心）报到。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（5）本表信息若有虚假、涂改，将取消考生的复试、录取资格。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white"/>
          <w:lang w:val="zh-CN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white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研究生复试费缴费详细流程图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一、西南大学学籍学生的缴费指南：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第1步：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登录网上缴费平台（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http://upay.swu.edu.cn/payment/login.jsp）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shd w:val="clear" w:color="auto" w:fill="FFFFFF"/>
        </w:rPr>
        <w:t>用户名、初始密码为身份证号，输入验证码后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，点击“登录”按钮。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drawing>
          <wp:inline distT="0" distB="0" distL="114300" distR="114300">
            <wp:extent cx="5382895" cy="3850005"/>
            <wp:effectExtent l="0" t="0" r="8255" b="17145"/>
            <wp:docPr id="3" name="图片 1" descr="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3-8-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第2步：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点击左上方“费用支付”界面，在费用项列表内选中（打勾）“研究生复试费”，点击右下方“支付按钮”。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30"/>
          <w:szCs w:val="30"/>
          <w:shd w:val="clear" w:color="auto" w:fill="FFFFFF"/>
        </w:rPr>
        <w:drawing>
          <wp:inline distT="0" distB="0" distL="114300" distR="114300">
            <wp:extent cx="5513705" cy="3115310"/>
            <wp:effectExtent l="0" t="0" r="10795" b="8890"/>
            <wp:docPr id="8" name="图片 2" descr="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3-8-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第3步：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在跳出费用信息确认窗口（如下图），请确认上面信息准确无误后，点击左下方“是”按钮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color="auto" w:fill="FFFFFF"/>
        </w:rPr>
        <w:t> </w:t>
      </w: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color="auto" w:fill="FFFFFF"/>
        </w:rPr>
        <w:drawing>
          <wp:inline distT="0" distB="0" distL="114300" distR="114300">
            <wp:extent cx="3095625" cy="2809875"/>
            <wp:effectExtent l="0" t="0" r="9525" b="9525"/>
            <wp:docPr id="7" name="图片 3" descr="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3-8-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第4步：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选择支付（微信或支付宝、银行卡）方式后，，请大家保证相关支付平台内余额充足。点击下一步进入付款页面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30"/>
          <w:szCs w:val="30"/>
          <w:shd w:val="clear" w:color="auto" w:fill="FFFFFF"/>
        </w:rPr>
        <w:drawing>
          <wp:inline distT="0" distB="0" distL="114300" distR="114300">
            <wp:extent cx="5507990" cy="3401060"/>
            <wp:effectExtent l="0" t="0" r="16510" b="8890"/>
            <wp:docPr id="9" name="图片 4" descr="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3-8-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30"/>
          <w:szCs w:val="30"/>
          <w:shd w:val="clear" w:color="auto" w:fill="FFFFFF"/>
        </w:rPr>
        <w:t>（若需要发票信息可确认左下方“发票信息”中修改）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第5步：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支付页面出现有二维码的支付界面，请扫描二维码进行支付。如下图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30"/>
          <w:szCs w:val="30"/>
          <w:shd w:val="clear" w:color="auto" w:fill="FFFFFF"/>
        </w:rPr>
        <w:drawing>
          <wp:inline distT="0" distB="0" distL="114300" distR="114300">
            <wp:extent cx="5487670" cy="2005965"/>
            <wp:effectExtent l="0" t="0" r="17780" b="13335"/>
            <wp:docPr id="4" name="图片 5" descr="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3-8-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</w:rPr>
        <w:t>西南大学在籍的考研考生的专属特别说明：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shd w:val="clear" w:color="auto" w:fill="FFFFFF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30"/>
          <w:szCs w:val="30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30"/>
          <w:szCs w:val="30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53535"/>
          <w:spacing w:val="0"/>
          <w:sz w:val="32"/>
          <w:szCs w:val="32"/>
          <w:shd w:val="clear" w:color="auto" w:fill="FFFFFF"/>
        </w:rPr>
        <w:t>二、非西南大学学籍学生的缴费指南：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第1步：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登录网上缴费平台（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http://upay.swu.edu.cn/payment/login.jsp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），点击“注册”。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36"/>
          <w:szCs w:val="36"/>
          <w:shd w:val="clear" w:color="auto" w:fill="FFFFFF"/>
        </w:rPr>
        <w:drawing>
          <wp:inline distT="0" distB="0" distL="114300" distR="114300">
            <wp:extent cx="5636260" cy="3121660"/>
            <wp:effectExtent l="0" t="0" r="2540" b="2540"/>
            <wp:docPr id="6" name="图片 6" descr="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-8-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第2步：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对于新用户，必须点击 “注册” 按钮，进入注册界面如下图所示.在注册界面中，输入注册信息点击 “提交” 按钮，完成注册。（注：红色 星号所标注的输入项为必填项）。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color w:val="353535"/>
          <w:spacing w:val="0"/>
          <w:sz w:val="30"/>
          <w:szCs w:val="30"/>
          <w:shd w:val="clear" w:color="auto" w:fill="FFFFFF"/>
        </w:rPr>
        <w:drawing>
          <wp:inline distT="0" distB="0" distL="114300" distR="114300">
            <wp:extent cx="4772025" cy="3752850"/>
            <wp:effectExtent l="0" t="0" r="9525" b="0"/>
            <wp:docPr id="5" name="图片 7" descr="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3-8-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>第3步：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登录  注册完成后，输入注册时的用户名、密码（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shd w:val="clear" w:color="auto" w:fill="FFFFFF"/>
        </w:rPr>
        <w:t>必须用你的身份证号码录入（否则无法登录进入学生缴费平台，请特别注意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）、验证码，点击 “登录” 按钮，如果用户名和密码正确，便可登录进入缴费平台系统。（</w:t>
      </w:r>
      <w:r>
        <w:rPr>
          <w:rFonts w:hint="eastAsia" w:ascii="宋体" w:hAnsi="宋体" w:eastAsia="宋体" w:cs="宋体"/>
          <w:b/>
          <w:bCs/>
          <w:i w:val="0"/>
          <w:caps w:val="0"/>
          <w:color w:val="7030A0"/>
          <w:spacing w:val="0"/>
          <w:sz w:val="28"/>
          <w:szCs w:val="28"/>
          <w:shd w:val="clear" w:color="auto" w:fill="FFFFFF"/>
        </w:rPr>
        <w:t xml:space="preserve">缴费操作流程具体见上面的“一、西南大学学籍学生的缴费指南” 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  <w:t>）。</w:t>
      </w:r>
    </w:p>
    <w:p/>
    <w:p>
      <w:pPr>
        <w:rPr>
          <w:rFonts w:hint="eastAsia" w:ascii="仿宋" w:hAnsi="仿宋" w:eastAsia="仿宋" w:cs="仿宋"/>
        </w:rPr>
      </w:pPr>
    </w:p>
    <w:sectPr>
      <w:pgSz w:w="11906" w:h="16838"/>
      <w:pgMar w:top="1553" w:right="1633" w:bottom="155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4FB81"/>
    <w:multiLevelType w:val="singleLevel"/>
    <w:tmpl w:val="FCC4FB81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7E7DE2D1"/>
    <w:multiLevelType w:val="singleLevel"/>
    <w:tmpl w:val="7E7DE2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086B"/>
    <w:rsid w:val="01156676"/>
    <w:rsid w:val="0248740B"/>
    <w:rsid w:val="26E0039F"/>
    <w:rsid w:val="2B1159FF"/>
    <w:rsid w:val="395F5133"/>
    <w:rsid w:val="455317B8"/>
    <w:rsid w:val="480406EC"/>
    <w:rsid w:val="489421DC"/>
    <w:rsid w:val="5B4114E5"/>
    <w:rsid w:val="5BDD0429"/>
    <w:rsid w:val="5E4A1C99"/>
    <w:rsid w:val="6129678B"/>
    <w:rsid w:val="63715654"/>
    <w:rsid w:val="76BC53A7"/>
    <w:rsid w:val="7B283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exact"/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lzh423</cp:lastModifiedBy>
  <dcterms:modified xsi:type="dcterms:W3CDTF">2019-03-21T05:03:17Z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